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E1" w:rsidRPr="0099061F" w:rsidRDefault="00825EE1" w:rsidP="00825E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061F">
        <w:rPr>
          <w:rFonts w:ascii="Arial" w:hAnsi="Arial" w:cs="Arial"/>
          <w:b/>
          <w:sz w:val="28"/>
          <w:szCs w:val="28"/>
        </w:rPr>
        <w:t xml:space="preserve">Техническое решение №1 «Автономная система </w:t>
      </w:r>
    </w:p>
    <w:p w:rsidR="00825EE1" w:rsidRPr="0099061F" w:rsidRDefault="00825EE1" w:rsidP="00825E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061F">
        <w:rPr>
          <w:rFonts w:ascii="Arial" w:hAnsi="Arial" w:cs="Arial"/>
          <w:b/>
          <w:sz w:val="28"/>
          <w:szCs w:val="28"/>
        </w:rPr>
        <w:t>аварийного освещения с функцией TELECONTROL»</w:t>
      </w:r>
    </w:p>
    <w:p w:rsidR="006510F0" w:rsidRPr="007B404F" w:rsidRDefault="003F65B3" w:rsidP="00F856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40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E6E7725" wp14:editId="2EDD9052">
                <wp:extent cx="304800" cy="304800"/>
                <wp:effectExtent l="0" t="0" r="0" b="0"/>
                <wp:docPr id="3" name="Прямоугольник 3" descr="https://www.conted.ox.ac.uk/mnt/images/RS7344_shutterstock_321798665-scr_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www.conted.ox.ac.uk/mnt/images/RS7344_shutterstock_321798665-scr_%281%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ySzCiJAMAACU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25EE1" w:rsidRPr="007B404F" w:rsidRDefault="00825EE1" w:rsidP="00825EE1">
      <w:pPr>
        <w:spacing w:after="0"/>
        <w:ind w:left="709" w:firstLine="284"/>
        <w:jc w:val="both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 С июля 2017 года начинается поэтапный переход на новые источники питания INEXI2 в световых приборах. Он обусловлен совершенствованием технических функций продукта и адаптацией его к требованиям нормативной базы, в частности  ГОСТ IEC 61347-2-7-2014. Представляем вашему вниманию обновленную версию Технического Решения №1 «Автономная система аварийного освещения с функцией TELECONTROL».</w:t>
      </w:r>
    </w:p>
    <w:p w:rsidR="00825EE1" w:rsidRPr="007B404F" w:rsidRDefault="00825EE1" w:rsidP="00825EE1">
      <w:pPr>
        <w:spacing w:after="0"/>
        <w:ind w:left="709" w:firstLine="284"/>
        <w:jc w:val="both"/>
        <w:rPr>
          <w:rFonts w:ascii="Arial" w:hAnsi="Arial" w:cs="Arial"/>
          <w:b/>
          <w:sz w:val="24"/>
          <w:szCs w:val="24"/>
        </w:rPr>
      </w:pPr>
    </w:p>
    <w:p w:rsidR="00CB522F" w:rsidRPr="007B404F" w:rsidRDefault="00825EE1" w:rsidP="007B404F">
      <w:pPr>
        <w:pStyle w:val="a3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Техническое решение №1 представляет собой систему аварийного освещения с автономными световыми приборами и прочими функционально дополняющими друг друга элементами, которые электрически совместимы друг с другом. </w:t>
      </w:r>
    </w:p>
    <w:p w:rsidR="00CB522F" w:rsidRPr="007B404F" w:rsidRDefault="00825EE1" w:rsidP="007B404F">
      <w:pPr>
        <w:pStyle w:val="a3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>Совместная работа этих элементов обеспечивает все виды и режимы работы аварийного освещения:</w:t>
      </w:r>
    </w:p>
    <w:p w:rsidR="006510F0" w:rsidRPr="007B404F" w:rsidRDefault="004B600C" w:rsidP="007B404F">
      <w:pPr>
        <w:pStyle w:val="a3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- </w:t>
      </w:r>
      <w:r w:rsidR="00825EE1" w:rsidRPr="007B404F">
        <w:rPr>
          <w:rFonts w:ascii="Arial" w:hAnsi="Arial" w:cs="Arial"/>
          <w:sz w:val="24"/>
          <w:szCs w:val="24"/>
        </w:rPr>
        <w:t>групповой режим ожидания световых приборов;</w:t>
      </w:r>
    </w:p>
    <w:p w:rsidR="006510F0" w:rsidRPr="007B404F" w:rsidRDefault="004B600C" w:rsidP="007B404F">
      <w:pPr>
        <w:pStyle w:val="a3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- </w:t>
      </w:r>
      <w:r w:rsidR="00825EE1" w:rsidRPr="007B404F">
        <w:rPr>
          <w:rFonts w:ascii="Arial" w:hAnsi="Arial" w:cs="Arial"/>
          <w:sz w:val="24"/>
          <w:szCs w:val="24"/>
        </w:rPr>
        <w:t>общий режим ожидания;</w:t>
      </w:r>
    </w:p>
    <w:p w:rsidR="006510F0" w:rsidRPr="007B404F" w:rsidRDefault="004B600C" w:rsidP="007B404F">
      <w:pPr>
        <w:pStyle w:val="a3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- </w:t>
      </w:r>
      <w:r w:rsidR="00825EE1" w:rsidRPr="007B404F">
        <w:rPr>
          <w:rFonts w:ascii="Arial" w:hAnsi="Arial" w:cs="Arial"/>
          <w:sz w:val="24"/>
          <w:szCs w:val="24"/>
        </w:rPr>
        <w:t>изменение типа действия светового прибора (</w:t>
      </w:r>
      <w:proofErr w:type="gramStart"/>
      <w:r w:rsidR="00825EE1" w:rsidRPr="007B404F">
        <w:rPr>
          <w:rFonts w:ascii="Arial" w:hAnsi="Arial" w:cs="Arial"/>
          <w:sz w:val="24"/>
          <w:szCs w:val="24"/>
        </w:rPr>
        <w:t>постоянный</w:t>
      </w:r>
      <w:proofErr w:type="gramEnd"/>
      <w:r w:rsidR="00825EE1" w:rsidRPr="007B404F">
        <w:rPr>
          <w:rFonts w:ascii="Arial" w:hAnsi="Arial" w:cs="Arial"/>
          <w:sz w:val="24"/>
          <w:szCs w:val="24"/>
        </w:rPr>
        <w:t>/непостоянный) для световых приборов универсального типа;</w:t>
      </w:r>
    </w:p>
    <w:p w:rsidR="00825EE1" w:rsidRPr="007B404F" w:rsidRDefault="004B600C" w:rsidP="00825EE1">
      <w:pPr>
        <w:pStyle w:val="a3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 - </w:t>
      </w:r>
      <w:r w:rsidR="00825EE1" w:rsidRPr="007B404F">
        <w:rPr>
          <w:rFonts w:ascii="Arial" w:hAnsi="Arial" w:cs="Arial"/>
          <w:sz w:val="24"/>
          <w:szCs w:val="24"/>
        </w:rPr>
        <w:t>групповое тестирование световых приборов;</w:t>
      </w:r>
    </w:p>
    <w:p w:rsidR="00825EE1" w:rsidRPr="007B404F" w:rsidRDefault="004B600C" w:rsidP="00825EE1">
      <w:pPr>
        <w:pStyle w:val="a3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-  </w:t>
      </w:r>
      <w:r w:rsidR="00825EE1" w:rsidRPr="007B404F">
        <w:rPr>
          <w:rFonts w:ascii="Arial" w:hAnsi="Arial" w:cs="Arial"/>
          <w:sz w:val="24"/>
          <w:szCs w:val="24"/>
        </w:rPr>
        <w:t>ручной и автоматический перевод системы аварийного освещения в аварийный режим.</w:t>
      </w:r>
    </w:p>
    <w:p w:rsidR="00825EE1" w:rsidRPr="007B404F" w:rsidRDefault="00825EE1" w:rsidP="00EB3AF8">
      <w:pPr>
        <w:ind w:firstLine="709"/>
        <w:rPr>
          <w:rFonts w:ascii="Arial" w:hAnsi="Arial" w:cs="Arial"/>
          <w:b/>
          <w:sz w:val="24"/>
          <w:szCs w:val="24"/>
        </w:rPr>
      </w:pPr>
      <w:r w:rsidRPr="007B404F">
        <w:rPr>
          <w:rFonts w:ascii="Arial" w:hAnsi="Arial" w:cs="Arial"/>
          <w:b/>
          <w:sz w:val="24"/>
          <w:szCs w:val="24"/>
        </w:rPr>
        <w:t>П</w:t>
      </w:r>
      <w:r w:rsidR="007B404F" w:rsidRPr="007B404F">
        <w:rPr>
          <w:rFonts w:ascii="Arial" w:hAnsi="Arial" w:cs="Arial"/>
          <w:b/>
          <w:sz w:val="24"/>
          <w:szCs w:val="24"/>
        </w:rPr>
        <w:t>реимущества системы:</w:t>
      </w:r>
    </w:p>
    <w:p w:rsidR="00825EE1" w:rsidRPr="007B404F" w:rsidRDefault="00825EE1" w:rsidP="00EB3AF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>простота проектирования системы аварийного освещения;</w:t>
      </w:r>
    </w:p>
    <w:p w:rsidR="00EB3AF8" w:rsidRPr="007B404F" w:rsidRDefault="00825EE1" w:rsidP="00EB3AF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>интуитивно понятный интерфейс элементов системы (ЩАО и ПУАО), позволяет легко управлять системой ответственному за безопасность здания/помещения персоналу;</w:t>
      </w:r>
    </w:p>
    <w:p w:rsidR="00825EE1" w:rsidRPr="007B404F" w:rsidRDefault="00825EE1" w:rsidP="00EB3AF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>все элементы системы электрически совместимы друг с другом;</w:t>
      </w:r>
    </w:p>
    <w:p w:rsidR="00825EE1" w:rsidRPr="007B404F" w:rsidRDefault="00825EE1" w:rsidP="00EB3AF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>все элементы системы аварийного освещения заводского исполнения (Правила технической эксплуатации электроустановок потребителей Глава 2.12).</w:t>
      </w:r>
    </w:p>
    <w:p w:rsidR="00825EE1" w:rsidRPr="007B404F" w:rsidRDefault="00825EE1" w:rsidP="00825EE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25EE1" w:rsidRPr="007B404F" w:rsidRDefault="00825EE1" w:rsidP="00825EE1">
      <w:pPr>
        <w:pStyle w:val="a3"/>
        <w:jc w:val="both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>Для построения системы аварийного освещения Технического решения №1, применяются автономные световые приборы, т.е. их работа в аварийном режиме обеспечивается собственным автономным  источником питания  –  высокотемпературной аккумуляторной батарей.</w:t>
      </w:r>
    </w:p>
    <w:p w:rsidR="00825EE1" w:rsidRPr="007B404F" w:rsidRDefault="00825EE1" w:rsidP="00825E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5EE1" w:rsidRPr="007B404F" w:rsidRDefault="00825EE1" w:rsidP="00825EE1">
      <w:pPr>
        <w:pStyle w:val="a3"/>
        <w:jc w:val="both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 Особенности световых приборов данного Технического решения является:</w:t>
      </w:r>
    </w:p>
    <w:p w:rsidR="00825EE1" w:rsidRPr="007B404F" w:rsidRDefault="00825EE1" w:rsidP="00825E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5EE1" w:rsidRPr="007B404F" w:rsidRDefault="00825EE1" w:rsidP="00825EE1">
      <w:pPr>
        <w:pStyle w:val="a3"/>
        <w:jc w:val="both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1. источник питания – электронная плата </w:t>
      </w:r>
      <w:r w:rsidRPr="007B404F">
        <w:rPr>
          <w:rFonts w:ascii="Arial" w:hAnsi="Arial" w:cs="Arial"/>
          <w:sz w:val="24"/>
          <w:szCs w:val="24"/>
          <w:lang w:val="en-US"/>
        </w:rPr>
        <w:t>INEXI</w:t>
      </w:r>
      <w:r w:rsidRPr="007B404F">
        <w:rPr>
          <w:rFonts w:ascii="Arial" w:hAnsi="Arial" w:cs="Arial"/>
          <w:sz w:val="24"/>
          <w:szCs w:val="24"/>
        </w:rPr>
        <w:t>2;</w:t>
      </w:r>
    </w:p>
    <w:p w:rsidR="00825EE1" w:rsidRPr="007B404F" w:rsidRDefault="00825EE1" w:rsidP="00825EE1">
      <w:pPr>
        <w:pStyle w:val="a3"/>
        <w:jc w:val="both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2. срок службы светодиодного источника света: </w:t>
      </w:r>
    </w:p>
    <w:p w:rsidR="00825EE1" w:rsidRPr="007B404F" w:rsidRDefault="00825EE1" w:rsidP="00825E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5EE1" w:rsidRPr="007B404F" w:rsidRDefault="00825EE1" w:rsidP="00825EE1">
      <w:pPr>
        <w:pStyle w:val="a3"/>
        <w:jc w:val="both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 xml:space="preserve">– </w:t>
      </w:r>
      <w:r w:rsidR="0008764A">
        <w:rPr>
          <w:rFonts w:ascii="Arial" w:hAnsi="Arial" w:cs="Arial"/>
          <w:sz w:val="24"/>
          <w:szCs w:val="24"/>
        </w:rPr>
        <w:t>*</w:t>
      </w:r>
      <w:bookmarkStart w:id="0" w:name="_GoBack"/>
      <w:bookmarkEnd w:id="0"/>
      <w:r w:rsidRPr="007B404F">
        <w:rPr>
          <w:rFonts w:ascii="Arial" w:hAnsi="Arial" w:cs="Arial"/>
          <w:sz w:val="24"/>
          <w:szCs w:val="24"/>
        </w:rPr>
        <w:t>для световых приборов постоянного и универсального типа действия - 100 000 часов;</w:t>
      </w:r>
    </w:p>
    <w:p w:rsidR="00825EE1" w:rsidRPr="007B404F" w:rsidRDefault="00825EE1" w:rsidP="00825EE1">
      <w:pPr>
        <w:pStyle w:val="a3"/>
        <w:jc w:val="both"/>
        <w:rPr>
          <w:rFonts w:ascii="Arial" w:hAnsi="Arial" w:cs="Arial"/>
          <w:sz w:val="24"/>
          <w:szCs w:val="24"/>
        </w:rPr>
      </w:pPr>
      <w:r w:rsidRPr="007B404F">
        <w:rPr>
          <w:rFonts w:ascii="Arial" w:hAnsi="Arial" w:cs="Arial"/>
          <w:sz w:val="24"/>
          <w:szCs w:val="24"/>
        </w:rPr>
        <w:t>-  для световых приборов непостоянного типа действия – 50 000 часов.</w:t>
      </w:r>
    </w:p>
    <w:p w:rsidR="006510F0" w:rsidRPr="00825EE1" w:rsidRDefault="006510F0" w:rsidP="00825EE1">
      <w:pPr>
        <w:pStyle w:val="a3"/>
        <w:jc w:val="both"/>
        <w:rPr>
          <w:rFonts w:ascii="Arial" w:hAnsi="Arial" w:cs="Arial"/>
        </w:rPr>
      </w:pPr>
    </w:p>
    <w:p w:rsidR="00855F0E" w:rsidRPr="00825EE1" w:rsidRDefault="0008764A">
      <w:pPr>
        <w:rPr>
          <w:rFonts w:ascii="Arial" w:hAnsi="Arial" w:cs="Arial"/>
          <w:sz w:val="22"/>
          <w:szCs w:val="22"/>
        </w:rPr>
      </w:pPr>
    </w:p>
    <w:sectPr w:rsidR="00855F0E" w:rsidRPr="00825EE1" w:rsidSect="00825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53F"/>
    <w:multiLevelType w:val="hybridMultilevel"/>
    <w:tmpl w:val="6A5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178D"/>
    <w:multiLevelType w:val="hybridMultilevel"/>
    <w:tmpl w:val="981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44FC7"/>
    <w:multiLevelType w:val="multilevel"/>
    <w:tmpl w:val="D4566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E1"/>
    <w:rsid w:val="00036B7D"/>
    <w:rsid w:val="0008764A"/>
    <w:rsid w:val="002C4DF7"/>
    <w:rsid w:val="003B46D8"/>
    <w:rsid w:val="003F65B3"/>
    <w:rsid w:val="004B600C"/>
    <w:rsid w:val="006510F0"/>
    <w:rsid w:val="007B404F"/>
    <w:rsid w:val="007C59BB"/>
    <w:rsid w:val="00825EE1"/>
    <w:rsid w:val="0099061F"/>
    <w:rsid w:val="00AC7951"/>
    <w:rsid w:val="00CB522F"/>
    <w:rsid w:val="00EB3AF8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E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E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Lyashenko Ekaterina</dc:creator>
  <cp:lastModifiedBy>Lyashenko Ekaterina</cp:lastModifiedBy>
  <cp:revision>9</cp:revision>
  <dcterms:created xsi:type="dcterms:W3CDTF">2017-07-05T08:50:00Z</dcterms:created>
  <dcterms:modified xsi:type="dcterms:W3CDTF">2017-07-14T13:30:00Z</dcterms:modified>
</cp:coreProperties>
</file>